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37" w:rsidRDefault="00E36B37"/>
    <w:p w:rsidR="000D6F58" w:rsidRPr="00390016" w:rsidRDefault="000D6F58" w:rsidP="000D6F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es-ES"/>
        </w:rPr>
      </w:pPr>
      <w:r w:rsidRPr="00390016">
        <w:rPr>
          <w:rFonts w:ascii="Century Gothic" w:eastAsia="Times New Roman" w:hAnsi="Century Gothic" w:cs="Tahoma"/>
          <w:b/>
          <w:sz w:val="20"/>
          <w:szCs w:val="20"/>
          <w:lang w:eastAsia="es-ES"/>
        </w:rPr>
        <w:t>PORTADA</w:t>
      </w:r>
    </w:p>
    <w:p w:rsidR="000D6F58" w:rsidRPr="00390016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7920"/>
      </w:tblGrid>
      <w:tr w:rsidR="000D6F58" w:rsidRPr="00390016" w:rsidTr="005A4A37">
        <w:trPr>
          <w:cantSplit/>
          <w:trHeight w:val="296"/>
        </w:trPr>
        <w:tc>
          <w:tcPr>
            <w:tcW w:w="1890" w:type="dxa"/>
            <w:shd w:val="pct10" w:color="000000" w:fill="FFFFFF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920" w:type="dxa"/>
            <w:shd w:val="pct10" w:color="000000" w:fill="FFFFFF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0D6F58" w:rsidRPr="00390016" w:rsidTr="005A4A37">
        <w:trPr>
          <w:cantSplit/>
          <w:trHeight w:val="271"/>
        </w:trPr>
        <w:tc>
          <w:tcPr>
            <w:tcW w:w="1890" w:type="dxa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920" w:type="dxa"/>
            <w:vAlign w:val="center"/>
          </w:tcPr>
          <w:p w:rsidR="00974DD1" w:rsidRPr="00974DD1" w:rsidRDefault="00974DD1" w:rsidP="005A4A37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974DD1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13 de Diciembre de 2016</w:t>
            </w:r>
          </w:p>
          <w:p w:rsidR="000D6F58" w:rsidRPr="00390016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Lanzamiento </w:t>
            </w:r>
          </w:p>
        </w:tc>
      </w:tr>
    </w:tbl>
    <w:p w:rsidR="000D6F58" w:rsidRPr="00390016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70"/>
        <w:gridCol w:w="3150"/>
        <w:gridCol w:w="3690"/>
      </w:tblGrid>
      <w:tr w:rsidR="005A4A37" w:rsidRPr="00390016" w:rsidTr="005A4A37">
        <w:trPr>
          <w:cantSplit/>
        </w:trPr>
        <w:tc>
          <w:tcPr>
            <w:tcW w:w="2970" w:type="dxa"/>
            <w:shd w:val="pct10" w:color="000000" w:fill="FFFFFF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3150" w:type="dxa"/>
            <w:shd w:val="pct10" w:color="000000" w:fill="FFFFFF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690" w:type="dxa"/>
            <w:shd w:val="pct10" w:color="000000" w:fill="FFFFFF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49565F" w:rsidRPr="00390016" w:rsidTr="005A4A37">
        <w:trPr>
          <w:cantSplit/>
        </w:trPr>
        <w:tc>
          <w:tcPr>
            <w:tcW w:w="297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Claudia Olaya / Omar Emilio Barragán A.  </w:t>
            </w:r>
          </w:p>
        </w:tc>
        <w:tc>
          <w:tcPr>
            <w:tcW w:w="3150" w:type="dxa"/>
            <w:vAlign w:val="center"/>
          </w:tcPr>
          <w:p w:rsidR="0049565F" w:rsidRPr="00642150" w:rsidRDefault="0049565F" w:rsidP="00A3098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Nombre: </w:t>
            </w: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Xiomara Gonzalez</w:t>
            </w:r>
          </w:p>
        </w:tc>
        <w:tc>
          <w:tcPr>
            <w:tcW w:w="369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Carlos Rogelio Bolívar Cepeda</w:t>
            </w:r>
          </w:p>
        </w:tc>
      </w:tr>
      <w:tr w:rsidR="0049565F" w:rsidRPr="00390016" w:rsidTr="005A4A37">
        <w:trPr>
          <w:cantSplit/>
        </w:trPr>
        <w:tc>
          <w:tcPr>
            <w:tcW w:w="297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Profesional II Gestión Documental / Profesional I Gestión Documental</w:t>
            </w:r>
          </w:p>
        </w:tc>
        <w:tc>
          <w:tcPr>
            <w:tcW w:w="315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Directora Desarrollo Institucional</w:t>
            </w:r>
          </w:p>
        </w:tc>
        <w:tc>
          <w:tcPr>
            <w:tcW w:w="369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Presidente Ejecutivo</w:t>
            </w:r>
          </w:p>
        </w:tc>
      </w:tr>
      <w:tr w:rsidR="0049565F" w:rsidRPr="00390016" w:rsidTr="005A4A37">
        <w:trPr>
          <w:cantSplit/>
        </w:trPr>
        <w:tc>
          <w:tcPr>
            <w:tcW w:w="297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2 de Diciembre de 2016</w:t>
            </w:r>
          </w:p>
        </w:tc>
        <w:tc>
          <w:tcPr>
            <w:tcW w:w="315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6 de diciembre de 2016</w:t>
            </w:r>
          </w:p>
        </w:tc>
        <w:tc>
          <w:tcPr>
            <w:tcW w:w="3690" w:type="dxa"/>
            <w:vAlign w:val="center"/>
          </w:tcPr>
          <w:p w:rsidR="0049565F" w:rsidRPr="00390016" w:rsidRDefault="0049565F" w:rsidP="00A3098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: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13 de diciembre de 2016</w:t>
            </w:r>
          </w:p>
        </w:tc>
      </w:tr>
    </w:tbl>
    <w:p w:rsidR="000D6F58" w:rsidRPr="00390016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5654" w:type="pct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4276"/>
        <w:gridCol w:w="839"/>
        <w:gridCol w:w="4121"/>
      </w:tblGrid>
      <w:tr w:rsidR="000D6F58" w:rsidRPr="00390016" w:rsidTr="005A4A37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  <w:t>Lista de Distribución</w:t>
            </w:r>
          </w:p>
        </w:tc>
      </w:tr>
      <w:tr w:rsidR="005A4A37" w:rsidRPr="00390016" w:rsidTr="005A4A37">
        <w:trPr>
          <w:cantSplit/>
          <w:trHeight w:val="219"/>
        </w:trPr>
        <w:tc>
          <w:tcPr>
            <w:tcW w:w="276" w:type="pct"/>
            <w:shd w:val="clear" w:color="auto" w:fill="E0E0E0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87" w:type="pct"/>
            <w:shd w:val="clear" w:color="auto" w:fill="E0E0E0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29" w:type="pct"/>
            <w:shd w:val="clear" w:color="auto" w:fill="E0E0E0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08" w:type="pct"/>
            <w:shd w:val="clear" w:color="auto" w:fill="E0E0E0"/>
            <w:vAlign w:val="center"/>
          </w:tcPr>
          <w:p w:rsidR="000D6F58" w:rsidRPr="00390016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096A3A" w:rsidRPr="00390016" w:rsidTr="005A4A37">
        <w:trPr>
          <w:cantSplit/>
          <w:trHeight w:val="281"/>
        </w:trPr>
        <w:tc>
          <w:tcPr>
            <w:tcW w:w="276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2187" w:type="pct"/>
            <w:vAlign w:val="center"/>
          </w:tcPr>
          <w:p w:rsidR="00096A3A" w:rsidRDefault="00096A3A" w:rsidP="00A3098E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Presidente Ejecutivo</w:t>
            </w:r>
          </w:p>
        </w:tc>
        <w:tc>
          <w:tcPr>
            <w:tcW w:w="429" w:type="pct"/>
            <w:vAlign w:val="center"/>
          </w:tcPr>
          <w:p w:rsidR="00096A3A" w:rsidRDefault="00096A3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2</w:t>
            </w:r>
          </w:p>
        </w:tc>
        <w:tc>
          <w:tcPr>
            <w:tcW w:w="2108" w:type="pct"/>
            <w:vAlign w:val="center"/>
          </w:tcPr>
          <w:p w:rsidR="00096A3A" w:rsidRDefault="00096A3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 xml:space="preserve">Director de Registros Públicos </w:t>
            </w:r>
          </w:p>
        </w:tc>
      </w:tr>
      <w:tr w:rsidR="00096A3A" w:rsidRPr="00390016" w:rsidTr="005A4A37">
        <w:trPr>
          <w:cantSplit/>
          <w:trHeight w:val="281"/>
        </w:trPr>
        <w:tc>
          <w:tcPr>
            <w:tcW w:w="276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2187" w:type="pct"/>
            <w:vAlign w:val="center"/>
          </w:tcPr>
          <w:p w:rsidR="00096A3A" w:rsidRDefault="00096A3A" w:rsidP="00A3098E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de Control Interno y Gestión de Calidad</w:t>
            </w:r>
          </w:p>
        </w:tc>
        <w:tc>
          <w:tcPr>
            <w:tcW w:w="429" w:type="pct"/>
            <w:vAlign w:val="center"/>
          </w:tcPr>
          <w:p w:rsidR="00096A3A" w:rsidRDefault="00096A3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4</w:t>
            </w:r>
          </w:p>
        </w:tc>
        <w:tc>
          <w:tcPr>
            <w:tcW w:w="2108" w:type="pct"/>
            <w:vAlign w:val="center"/>
          </w:tcPr>
          <w:p w:rsidR="00096A3A" w:rsidRDefault="00096A3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Administrativo y Financiero</w:t>
            </w:r>
          </w:p>
        </w:tc>
      </w:tr>
      <w:tr w:rsidR="00096A3A" w:rsidRPr="00390016" w:rsidTr="005A4A37">
        <w:trPr>
          <w:cantSplit/>
          <w:trHeight w:val="281"/>
        </w:trPr>
        <w:tc>
          <w:tcPr>
            <w:tcW w:w="276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2187" w:type="pct"/>
            <w:vAlign w:val="center"/>
          </w:tcPr>
          <w:p w:rsidR="00096A3A" w:rsidRDefault="00096A3A" w:rsidP="00A3098E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 de Promoción y Desarrollo</w:t>
            </w:r>
          </w:p>
        </w:tc>
        <w:tc>
          <w:tcPr>
            <w:tcW w:w="429" w:type="pct"/>
            <w:vAlign w:val="center"/>
          </w:tcPr>
          <w:p w:rsidR="00096A3A" w:rsidRDefault="00096A3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6</w:t>
            </w:r>
          </w:p>
        </w:tc>
        <w:tc>
          <w:tcPr>
            <w:tcW w:w="2108" w:type="pct"/>
            <w:vAlign w:val="center"/>
          </w:tcPr>
          <w:p w:rsidR="00096A3A" w:rsidRDefault="00096A3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Coordinador TIC</w:t>
            </w:r>
          </w:p>
        </w:tc>
      </w:tr>
      <w:tr w:rsidR="00096A3A" w:rsidRPr="00390016" w:rsidTr="005A4A37">
        <w:trPr>
          <w:cantSplit/>
          <w:trHeight w:val="281"/>
        </w:trPr>
        <w:tc>
          <w:tcPr>
            <w:tcW w:w="276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2187" w:type="pct"/>
            <w:vAlign w:val="center"/>
          </w:tcPr>
          <w:p w:rsidR="00096A3A" w:rsidRDefault="00096A3A" w:rsidP="00A3098E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Directora Desarrollo Institucional</w:t>
            </w:r>
          </w:p>
        </w:tc>
        <w:tc>
          <w:tcPr>
            <w:tcW w:w="429" w:type="pct"/>
            <w:vAlign w:val="center"/>
          </w:tcPr>
          <w:p w:rsidR="00096A3A" w:rsidRDefault="00096A3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8</w:t>
            </w:r>
          </w:p>
        </w:tc>
        <w:tc>
          <w:tcPr>
            <w:tcW w:w="2108" w:type="pct"/>
            <w:vAlign w:val="center"/>
          </w:tcPr>
          <w:p w:rsidR="00096A3A" w:rsidRDefault="00096A3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Jurídicos</w:t>
            </w:r>
          </w:p>
        </w:tc>
      </w:tr>
      <w:tr w:rsidR="00096A3A" w:rsidRPr="00390016" w:rsidTr="005A4A37">
        <w:trPr>
          <w:cantSplit/>
          <w:trHeight w:val="281"/>
        </w:trPr>
        <w:tc>
          <w:tcPr>
            <w:tcW w:w="276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9</w:t>
            </w:r>
          </w:p>
        </w:tc>
        <w:tc>
          <w:tcPr>
            <w:tcW w:w="2187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Contador </w:t>
            </w:r>
          </w:p>
        </w:tc>
        <w:tc>
          <w:tcPr>
            <w:tcW w:w="429" w:type="pct"/>
            <w:vAlign w:val="center"/>
          </w:tcPr>
          <w:p w:rsidR="00096A3A" w:rsidRPr="00390016" w:rsidRDefault="00096A3A" w:rsidP="00A3098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2108" w:type="pct"/>
            <w:vAlign w:val="center"/>
          </w:tcPr>
          <w:p w:rsidR="00096A3A" w:rsidRPr="00390016" w:rsidRDefault="00096A3A" w:rsidP="00A3098E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Profesional Jurídico</w:t>
            </w:r>
          </w:p>
        </w:tc>
      </w:tr>
    </w:tbl>
    <w:p w:rsidR="005A4A37" w:rsidRDefault="005A4A37"/>
    <w:p w:rsidR="005E4FC4" w:rsidRPr="000D6F58" w:rsidRDefault="005E4FC4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 xml:space="preserve">OBJETIVO  </w:t>
      </w:r>
    </w:p>
    <w:p w:rsidR="005E4FC4" w:rsidRPr="000D6F58" w:rsidRDefault="005E4FC4" w:rsidP="005E4FC4">
      <w:pPr>
        <w:pStyle w:val="Prrafodelista"/>
        <w:rPr>
          <w:rFonts w:ascii="Century Gothic" w:hAnsi="Century Gothic"/>
          <w:sz w:val="20"/>
          <w:szCs w:val="20"/>
        </w:rPr>
      </w:pPr>
    </w:p>
    <w:p w:rsidR="005E4FC4" w:rsidRPr="000D6F58" w:rsidRDefault="005E4FC4" w:rsidP="005A4A37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 w:rsidRPr="000D6F58">
        <w:rPr>
          <w:rFonts w:ascii="Century Gothic" w:hAnsi="Century Gothic"/>
          <w:sz w:val="20"/>
          <w:szCs w:val="20"/>
        </w:rPr>
        <w:t xml:space="preserve">Establecer la metodología para determinar la disposición final de los documentos generados en la Cámara de Comercio de Facatativá. </w:t>
      </w:r>
    </w:p>
    <w:p w:rsidR="005E4FC4" w:rsidRPr="000D6F58" w:rsidRDefault="005E4FC4" w:rsidP="005E4FC4">
      <w:pPr>
        <w:pStyle w:val="Prrafodelista"/>
        <w:rPr>
          <w:rFonts w:ascii="Century Gothic" w:hAnsi="Century Gothic"/>
          <w:sz w:val="20"/>
          <w:szCs w:val="20"/>
        </w:rPr>
      </w:pPr>
    </w:p>
    <w:p w:rsidR="005E4FC4" w:rsidRPr="000D6F58" w:rsidRDefault="005E4FC4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 xml:space="preserve">ALCANCE  </w:t>
      </w:r>
    </w:p>
    <w:p w:rsidR="005E4FC4" w:rsidRPr="000D6F58" w:rsidRDefault="005E4FC4" w:rsidP="005E4FC4">
      <w:pPr>
        <w:pStyle w:val="Prrafodelista"/>
        <w:rPr>
          <w:rFonts w:ascii="Century Gothic" w:hAnsi="Century Gothic"/>
          <w:sz w:val="20"/>
          <w:szCs w:val="20"/>
        </w:rPr>
      </w:pPr>
    </w:p>
    <w:p w:rsidR="005E4FC4" w:rsidRPr="000D6F58" w:rsidRDefault="005E4FC4" w:rsidP="005A4A37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0D6F58">
        <w:rPr>
          <w:rFonts w:ascii="Century Gothic" w:hAnsi="Century Gothic"/>
          <w:sz w:val="20"/>
          <w:szCs w:val="20"/>
        </w:rPr>
        <w:t xml:space="preserve">El procedimiento de disposición final de documentos aplica para los archivos de </w:t>
      </w:r>
      <w:r w:rsidR="00096A3A">
        <w:rPr>
          <w:rFonts w:ascii="Century Gothic" w:hAnsi="Century Gothic"/>
          <w:sz w:val="20"/>
          <w:szCs w:val="20"/>
        </w:rPr>
        <w:t>G</w:t>
      </w:r>
      <w:r w:rsidRPr="000D6F58">
        <w:rPr>
          <w:rFonts w:ascii="Century Gothic" w:hAnsi="Century Gothic"/>
          <w:sz w:val="20"/>
          <w:szCs w:val="20"/>
        </w:rPr>
        <w:t>estión, central e histórico.</w:t>
      </w:r>
    </w:p>
    <w:p w:rsidR="005E4FC4" w:rsidRPr="000D6F58" w:rsidRDefault="005E4FC4" w:rsidP="005E4FC4">
      <w:pPr>
        <w:pStyle w:val="Prrafodelista"/>
        <w:rPr>
          <w:rFonts w:ascii="Century Gothic" w:hAnsi="Century Gothic"/>
          <w:sz w:val="20"/>
          <w:szCs w:val="20"/>
        </w:rPr>
      </w:pPr>
    </w:p>
    <w:p w:rsidR="005E4FC4" w:rsidRPr="000D6F58" w:rsidRDefault="000D6F58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>TERMINOLOGIA</w:t>
      </w:r>
    </w:p>
    <w:p w:rsidR="005E4FC4" w:rsidRPr="000D6F58" w:rsidRDefault="005E4FC4" w:rsidP="000D6F58">
      <w:pPr>
        <w:jc w:val="both"/>
        <w:rPr>
          <w:rFonts w:ascii="Century Gothic" w:hAnsi="Century Gothic"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 xml:space="preserve">ELIMINACIÓN DOCUMENTAL: </w:t>
      </w:r>
      <w:r w:rsidRPr="000D6F58">
        <w:rPr>
          <w:rFonts w:ascii="Century Gothic" w:hAnsi="Century Gothic"/>
          <w:sz w:val="20"/>
          <w:szCs w:val="20"/>
        </w:rPr>
        <w:t xml:space="preserve">Actividad resultante de la disposición final señalada en las tablas de retención o de valoración documental para aquellos documentos que han perdido sus valores primarios y secundarios, sin perjuicio de conservar su información en otros soportes.  </w:t>
      </w:r>
    </w:p>
    <w:p w:rsidR="000D6F58" w:rsidRDefault="005E4FC4" w:rsidP="000D6F58">
      <w:pPr>
        <w:jc w:val="both"/>
        <w:rPr>
          <w:rFonts w:ascii="Century Gothic" w:hAnsi="Century Gothic"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 xml:space="preserve">DISPOSICIÓN FINAL DE LOS DOCUMENTOS: </w:t>
      </w:r>
      <w:r w:rsidRPr="000D6F58">
        <w:rPr>
          <w:rFonts w:ascii="Century Gothic" w:hAnsi="Century Gothic"/>
          <w:sz w:val="20"/>
          <w:szCs w:val="20"/>
        </w:rPr>
        <w:t xml:space="preserve">Selección de los documentos en cualquier etapa del ciclo vital, con miras a su conservación temporal, permanente, o a su </w:t>
      </w:r>
      <w:r w:rsidRPr="000D6F58">
        <w:rPr>
          <w:rFonts w:ascii="Century Gothic" w:hAnsi="Century Gothic"/>
          <w:sz w:val="20"/>
          <w:szCs w:val="20"/>
        </w:rPr>
        <w:lastRenderedPageBreak/>
        <w:t>eliminación conforme a lo dispuesto en las Tablas de Retención Documental y/o Tablas de Valoración Documental.</w:t>
      </w:r>
    </w:p>
    <w:p w:rsidR="00BE19A8" w:rsidRDefault="00BE19A8" w:rsidP="00BE19A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BE19A8">
        <w:rPr>
          <w:rFonts w:ascii="Century Gothic" w:hAnsi="Century Gothic"/>
          <w:b/>
          <w:sz w:val="20"/>
          <w:szCs w:val="20"/>
        </w:rPr>
        <w:t>CONSIDERACIONES GENERALES</w:t>
      </w:r>
    </w:p>
    <w:p w:rsidR="00BE19A8" w:rsidRPr="00BE19A8" w:rsidRDefault="00BE19A8" w:rsidP="00BE19A8">
      <w:pPr>
        <w:jc w:val="both"/>
        <w:rPr>
          <w:rFonts w:ascii="Century Gothic" w:hAnsi="Century Gothic"/>
          <w:b/>
          <w:sz w:val="20"/>
          <w:szCs w:val="20"/>
        </w:rPr>
      </w:pPr>
      <w:r w:rsidRPr="00BE19A8">
        <w:rPr>
          <w:rFonts w:ascii="Century Gothic" w:hAnsi="Century Gothic"/>
          <w:b/>
          <w:sz w:val="20"/>
          <w:szCs w:val="20"/>
        </w:rPr>
        <w:t>CRITERIOS PARA LA ELIMINACIÓN:</w:t>
      </w:r>
    </w:p>
    <w:p w:rsidR="00A645EA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La decisión de eliminar documentos, es responsabilidad del comité de archivo de cada entidad. </w:t>
      </w:r>
    </w:p>
    <w:p w:rsidR="00A645EA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Un principio que debe observarse es aquel según el cual los documentos que deben eliminarse corresponden a lo señalado en las tablas de retención documental o en los asuntos de las tablas de valoración documental.</w:t>
      </w:r>
    </w:p>
    <w:p w:rsidR="00A645EA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Ninguna serie documental puede ser destruida sin estar previamente registrada en la correspondiente tabla de retención.</w:t>
      </w:r>
    </w:p>
    <w:p w:rsidR="00A645EA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La eliminación deberá realizarse atendiendo lo estipulado al respecto. Las eliminaciones deben formar parte del proceso de preparación de las transferencias primarias y secundarias, es decir, cuando los archivos de gestión transfieren al central y este al histórico. </w:t>
      </w:r>
    </w:p>
    <w:p w:rsidR="00A645EA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En todos los casos deberá levantarse un acta acompañada de su respectivo inventario.</w:t>
      </w:r>
    </w:p>
    <w:p w:rsidR="00A645EA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Se deja como evidencia el Acta de Eliminación La dependencia realiza la respectiva trasferencia primaria del archivo central.</w:t>
      </w:r>
    </w:p>
    <w:p w:rsidR="00BE19A8" w:rsidRPr="00A645EA" w:rsidRDefault="00BE19A8" w:rsidP="00A645EA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Si se requiere microfilmar y/o digitalizar los documentos, el archivo central adopta la técnica de microfilmación y/o digitalización, en los términos establecidos en las TRD y TVD o para los casos requeridos.</w:t>
      </w:r>
    </w:p>
    <w:p w:rsidR="00BE19A8" w:rsidRDefault="00BE19A8" w:rsidP="00BE19A8">
      <w:pPr>
        <w:jc w:val="both"/>
        <w:rPr>
          <w:rFonts w:ascii="Century Gothic" w:hAnsi="Century Gothic"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>CRITERIOS DE LA DIGITALIZACIÓN</w:t>
      </w:r>
      <w:r w:rsidRPr="000D6F58">
        <w:rPr>
          <w:rFonts w:ascii="Century Gothic" w:hAnsi="Century Gothic"/>
          <w:sz w:val="20"/>
          <w:szCs w:val="20"/>
        </w:rPr>
        <w:t xml:space="preserve"> </w:t>
      </w:r>
    </w:p>
    <w:p w:rsidR="00A645EA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La digitalización de documentos en soporte papel, de archivos de gestión y centrales, se debe hacer para agilizar su búsqueda en casos de consulta permanente, remota o por varios usuarios a la vez. </w:t>
      </w:r>
    </w:p>
    <w:p w:rsidR="00A645EA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En caso de los documentos y archivos históricos se debe utilizar para mejorar la legibilidad y facilitar el acceso remoto, pero sin destruir la documentación original. </w:t>
      </w:r>
    </w:p>
    <w:p w:rsidR="00A645EA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El manejo de documentos electrónicos debe incluir procedimientos de migración, backups, transferencia a formatos analógicos como el microfilm o el papel que permita asegurar la permanencia de la información accesible, en especial aquella que por su valor testimonial así</w:t>
      </w:r>
      <w:r w:rsidR="00A645EA">
        <w:rPr>
          <w:rFonts w:ascii="Century Gothic" w:hAnsi="Century Gothic"/>
          <w:sz w:val="20"/>
          <w:szCs w:val="20"/>
        </w:rPr>
        <w:t xml:space="preserve"> </w:t>
      </w:r>
      <w:r w:rsidRPr="00A645EA">
        <w:rPr>
          <w:rFonts w:ascii="Century Gothic" w:hAnsi="Century Gothic"/>
          <w:sz w:val="20"/>
          <w:szCs w:val="20"/>
        </w:rPr>
        <w:t xml:space="preserve"> lo requiera, por lo cual las series de documentos digitales también deben ser contempladas en las tablas de retención documental. </w:t>
      </w:r>
    </w:p>
    <w:p w:rsidR="00A645EA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El archivo central verifica y aplica lo dispuesto en la TRD o TVD para las series y sub-series. </w:t>
      </w:r>
    </w:p>
    <w:p w:rsidR="00BE19A8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Si existen documentos para eliminar en el archivo central se aplica la metodología y criterios básicos para la eliminación de documentos. Si no existen documentos para eliminar, el archivo central hace la revisión de las series y sub-series</w:t>
      </w:r>
      <w:r w:rsidR="00A645EA" w:rsidRPr="00A645EA">
        <w:rPr>
          <w:rFonts w:ascii="Century Gothic" w:hAnsi="Century Gothic"/>
          <w:sz w:val="20"/>
          <w:szCs w:val="20"/>
        </w:rPr>
        <w:t>.</w:t>
      </w:r>
    </w:p>
    <w:p w:rsidR="00A645EA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Si se requiere hacer selección documental se realiza la valoración correspondiente, en los términos establecidos en las TRD o TVD. </w:t>
      </w:r>
    </w:p>
    <w:p w:rsidR="00BE19A8" w:rsidRPr="00A645EA" w:rsidRDefault="00BE19A8" w:rsidP="00A645E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lastRenderedPageBreak/>
        <w:t>Esto se realiza aplicando la metodología y criterios básicos para la selección documental.</w:t>
      </w:r>
    </w:p>
    <w:p w:rsidR="00BE19A8" w:rsidRDefault="00BE19A8" w:rsidP="00BE19A8">
      <w:pPr>
        <w:jc w:val="both"/>
        <w:rPr>
          <w:rFonts w:ascii="Century Gothic" w:hAnsi="Century Gothic"/>
          <w:b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>CRITERIOS PARA LA SELECCIÓN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La selección puede aplicarse a documentación que ha perdido su vigencia.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 La selección debe aplicarse a series documentales voluminosas y cuyo contenido informativo se repite o se encuentra registrado en otras series.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La selección se aplica a series documentales cuyo valor informativo no amerita su conservación total.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Cuando una serie documental no requiere conservarse totalmente debe seleccionarse a través de muestreo.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Toma de ejemplares al azar</w:t>
      </w:r>
      <w:r w:rsidR="00A645EA">
        <w:rPr>
          <w:rFonts w:ascii="Century Gothic" w:hAnsi="Century Gothic"/>
          <w:sz w:val="20"/>
          <w:szCs w:val="20"/>
        </w:rPr>
        <w:t>,</w:t>
      </w:r>
      <w:r w:rsidRPr="00A645EA">
        <w:rPr>
          <w:rFonts w:ascii="Century Gothic" w:hAnsi="Century Gothic"/>
          <w:sz w:val="20"/>
          <w:szCs w:val="20"/>
        </w:rPr>
        <w:t xml:space="preserve"> </w:t>
      </w:r>
      <w:r w:rsidR="00A645EA">
        <w:rPr>
          <w:rFonts w:ascii="Century Gothic" w:hAnsi="Century Gothic"/>
          <w:sz w:val="20"/>
          <w:szCs w:val="20"/>
        </w:rPr>
        <w:t>m</w:t>
      </w:r>
      <w:r w:rsidRPr="00A645EA">
        <w:rPr>
          <w:rFonts w:ascii="Century Gothic" w:hAnsi="Century Gothic"/>
          <w:sz w:val="20"/>
          <w:szCs w:val="20"/>
        </w:rPr>
        <w:t xml:space="preserve">uestreo selectivo o cualitativo con arreglo a una pauta determinada dando un valor especial a ciertas series con fines de investigación.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Se le atribuye ser poco objetiva y proporcionar una visión sesgada o tergiversada de la serie.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Dentro de las segundas menciona las siguientes: Muestreo sistemático que tiene como guía la cronología, es decir, guardar ciertos años, eliminar otros; conservar la producción de una serie correspondiente al primer semestre, eliminar la producción correspondiente al segundo; Muestreo aleatorio.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 xml:space="preserve">Toda unidad tiene igual probabilidad de presentar una serie; en este caso es necesario aplicar una formula estadística. </w:t>
      </w:r>
    </w:p>
    <w:p w:rsid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El muestreo es un método eminentemente estadístico y provee resultados cuantitativos. El muestreo debe ser motivo de análisis para la administración, por esta razón debe contemplarse como tema de importancia en el Comité de Archivo de las entidades”.</w:t>
      </w:r>
    </w:p>
    <w:p w:rsidR="00BE19A8" w:rsidRPr="00A645EA" w:rsidRDefault="00BE19A8" w:rsidP="00A645EA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A645EA">
        <w:rPr>
          <w:rFonts w:ascii="Century Gothic" w:hAnsi="Century Gothic"/>
          <w:sz w:val="20"/>
          <w:szCs w:val="20"/>
        </w:rPr>
        <w:t>Si no se requiere hacer la selección documental, el archivo central realiza la transferencia de los documentos con valores secundarios al archivo histórico.</w:t>
      </w:r>
    </w:p>
    <w:p w:rsidR="000D6F58" w:rsidRPr="00390016" w:rsidRDefault="000D6F58" w:rsidP="000D6F58">
      <w:pPr>
        <w:pStyle w:val="Textoindependiente"/>
        <w:numPr>
          <w:ilvl w:val="0"/>
          <w:numId w:val="1"/>
        </w:numPr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390016">
        <w:rPr>
          <w:rFonts w:ascii="Century Gothic" w:hAnsi="Century Gothic" w:cs="Arial"/>
          <w:b/>
        </w:rPr>
        <w:t>FORMATOS Y/O DOCUMENTOS UTILIZADOS</w:t>
      </w:r>
    </w:p>
    <w:p w:rsidR="000D6F58" w:rsidRDefault="000D6F58" w:rsidP="000D6F58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0D6F58">
        <w:rPr>
          <w:rFonts w:ascii="Century Gothic" w:hAnsi="Century Gothic"/>
          <w:color w:val="0000FF"/>
        </w:rPr>
        <w:t>FOR-DIGD-04 Acta de eliminación documental</w:t>
      </w:r>
    </w:p>
    <w:p w:rsidR="000D6F58" w:rsidRPr="000D6F58" w:rsidRDefault="000D6F58" w:rsidP="000D6F58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:rsidR="005E4FC4" w:rsidRPr="000D6F58" w:rsidRDefault="000D6F58" w:rsidP="000D6F58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0D6F58">
        <w:rPr>
          <w:rFonts w:ascii="Century Gothic" w:hAnsi="Century Gothic"/>
          <w:b/>
          <w:sz w:val="20"/>
          <w:szCs w:val="20"/>
        </w:rPr>
        <w:t>DESCRPCION DE ACTIVIDADES</w:t>
      </w:r>
    </w:p>
    <w:tbl>
      <w:tblPr>
        <w:tblStyle w:val="Tablaconcuadrcula"/>
        <w:tblW w:w="9288" w:type="dxa"/>
        <w:tblLayout w:type="fixed"/>
        <w:tblLook w:val="04A0"/>
      </w:tblPr>
      <w:tblGrid>
        <w:gridCol w:w="457"/>
        <w:gridCol w:w="5038"/>
        <w:gridCol w:w="1559"/>
        <w:gridCol w:w="2234"/>
      </w:tblGrid>
      <w:tr w:rsidR="000E5508" w:rsidRPr="000D6F58" w:rsidTr="005A4A37">
        <w:trPr>
          <w:tblHeader/>
        </w:trPr>
        <w:tc>
          <w:tcPr>
            <w:tcW w:w="457" w:type="dxa"/>
            <w:shd w:val="clear" w:color="auto" w:fill="002060"/>
          </w:tcPr>
          <w:p w:rsidR="000E5508" w:rsidRPr="000D6F58" w:rsidRDefault="000E5508" w:rsidP="000E55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6F58">
              <w:rPr>
                <w:rFonts w:ascii="Century Gothic" w:hAnsi="Century Gothic"/>
                <w:b/>
                <w:sz w:val="20"/>
                <w:szCs w:val="20"/>
              </w:rPr>
              <w:t>Nº</w:t>
            </w:r>
          </w:p>
        </w:tc>
        <w:tc>
          <w:tcPr>
            <w:tcW w:w="5038" w:type="dxa"/>
            <w:shd w:val="clear" w:color="auto" w:fill="002060"/>
          </w:tcPr>
          <w:p w:rsidR="000E5508" w:rsidRPr="000D6F58" w:rsidRDefault="000E5508" w:rsidP="000E55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6F58">
              <w:rPr>
                <w:rFonts w:ascii="Century Gothic" w:hAnsi="Century Gothic"/>
                <w:b/>
                <w:sz w:val="20"/>
                <w:szCs w:val="20"/>
              </w:rPr>
              <w:t>ACTIVIDAD</w:t>
            </w:r>
          </w:p>
        </w:tc>
        <w:tc>
          <w:tcPr>
            <w:tcW w:w="1559" w:type="dxa"/>
            <w:shd w:val="clear" w:color="auto" w:fill="002060"/>
          </w:tcPr>
          <w:p w:rsidR="000E5508" w:rsidRPr="000D6F58" w:rsidRDefault="000E5508" w:rsidP="000E55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6F58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2234" w:type="dxa"/>
            <w:shd w:val="clear" w:color="auto" w:fill="002060"/>
          </w:tcPr>
          <w:p w:rsidR="000E5508" w:rsidRPr="000D6F58" w:rsidRDefault="000E5508" w:rsidP="000E550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6F58">
              <w:rPr>
                <w:rFonts w:ascii="Century Gothic" w:hAnsi="Century Gothic"/>
                <w:b/>
                <w:sz w:val="20"/>
                <w:szCs w:val="20"/>
              </w:rPr>
              <w:t>REGISTRO</w:t>
            </w:r>
          </w:p>
        </w:tc>
      </w:tr>
      <w:tr w:rsidR="000E5508" w:rsidRPr="000D6F58" w:rsidTr="005A4A37">
        <w:tc>
          <w:tcPr>
            <w:tcW w:w="457" w:type="dxa"/>
          </w:tcPr>
          <w:p w:rsidR="000E5508" w:rsidRPr="000D6F58" w:rsidRDefault="000E550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E5508" w:rsidRPr="000D6F58" w:rsidRDefault="000E5508">
            <w:pPr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5038" w:type="dxa"/>
          </w:tcPr>
          <w:p w:rsidR="000E5508" w:rsidRPr="000D6F58" w:rsidRDefault="000E5508" w:rsidP="00687B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Cada proceso de la CCF, con el aval del comité de archivo identifica y determina la disposición final de las series y sub-series documentales con base en la tabla o en los asuntos de la tabla de valoración y retención documental</w:t>
            </w:r>
          </w:p>
        </w:tc>
        <w:tc>
          <w:tcPr>
            <w:tcW w:w="1559" w:type="dxa"/>
          </w:tcPr>
          <w:p w:rsidR="000E5508" w:rsidRPr="000D6F58" w:rsidRDefault="000E5508" w:rsidP="000D6F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E5508" w:rsidRPr="000D6F58" w:rsidRDefault="000E5508" w:rsidP="000D6F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Comité de archivo</w:t>
            </w:r>
          </w:p>
        </w:tc>
        <w:tc>
          <w:tcPr>
            <w:tcW w:w="2234" w:type="dxa"/>
          </w:tcPr>
          <w:p w:rsidR="000E5508" w:rsidRPr="000D6F58" w:rsidRDefault="000E5508" w:rsidP="000D6F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E5508" w:rsidRPr="000D6F58" w:rsidRDefault="000E5508" w:rsidP="000D6F5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No aplica</w:t>
            </w:r>
          </w:p>
        </w:tc>
      </w:tr>
      <w:tr w:rsidR="00EF126E" w:rsidRPr="000D6F58" w:rsidTr="005A4A37">
        <w:tc>
          <w:tcPr>
            <w:tcW w:w="457" w:type="dxa"/>
          </w:tcPr>
          <w:p w:rsidR="00EF126E" w:rsidRPr="000D6F58" w:rsidRDefault="00EF126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126E" w:rsidRPr="000D6F58" w:rsidRDefault="00EF126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126E" w:rsidRPr="000D6F58" w:rsidRDefault="00EF126E">
            <w:pPr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5038" w:type="dxa"/>
          </w:tcPr>
          <w:p w:rsidR="00096A3A" w:rsidRDefault="00EF126E" w:rsidP="00687B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Se realiza la respectiva eliminación, microfilmación y/o, digitalización y selección de acuerdo a los criterios</w:t>
            </w:r>
            <w:r w:rsidR="00BE19A8">
              <w:rPr>
                <w:rFonts w:ascii="Century Gothic" w:hAnsi="Century Gothic"/>
                <w:sz w:val="20"/>
                <w:szCs w:val="20"/>
              </w:rPr>
              <w:t xml:space="preserve"> arriba enunciados y </w:t>
            </w:r>
            <w:r w:rsidRPr="000D6F58">
              <w:rPr>
                <w:rFonts w:ascii="Century Gothic" w:hAnsi="Century Gothic"/>
                <w:sz w:val="20"/>
                <w:szCs w:val="20"/>
              </w:rPr>
              <w:t xml:space="preserve"> establecidos para cada uno de ellos. </w:t>
            </w:r>
          </w:p>
          <w:p w:rsidR="00EF126E" w:rsidRPr="000D6F58" w:rsidRDefault="00EF126E" w:rsidP="00BE19A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126E" w:rsidRPr="000D6F58" w:rsidRDefault="00EF126E" w:rsidP="005A4A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F58">
              <w:rPr>
                <w:rFonts w:ascii="Century Gothic" w:hAnsi="Century Gothic"/>
                <w:sz w:val="20"/>
                <w:szCs w:val="20"/>
              </w:rPr>
              <w:t>Comité de archivo</w:t>
            </w:r>
          </w:p>
        </w:tc>
        <w:tc>
          <w:tcPr>
            <w:tcW w:w="2234" w:type="dxa"/>
            <w:vAlign w:val="center"/>
          </w:tcPr>
          <w:p w:rsidR="00E70A3D" w:rsidRPr="00BE19A8" w:rsidRDefault="00E70A3D" w:rsidP="00E70A3D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E19A8">
              <w:rPr>
                <w:rFonts w:ascii="Century Gothic" w:hAnsi="Century Gothic"/>
              </w:rPr>
              <w:t>FOR-DIGD-04 Acta de eliminación documental</w:t>
            </w:r>
          </w:p>
          <w:p w:rsidR="00EF126E" w:rsidRPr="00E70A3D" w:rsidRDefault="00EF126E" w:rsidP="005A4A37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BE19A8" w:rsidRPr="000D6F58" w:rsidTr="005A4A37">
        <w:tc>
          <w:tcPr>
            <w:tcW w:w="457" w:type="dxa"/>
          </w:tcPr>
          <w:p w:rsidR="00BE19A8" w:rsidRPr="00BE19A8" w:rsidRDefault="00BE19A8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19A8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038" w:type="dxa"/>
          </w:tcPr>
          <w:p w:rsidR="00BE19A8" w:rsidRPr="00BE19A8" w:rsidRDefault="00BE19A8" w:rsidP="00687B3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E19A8">
              <w:rPr>
                <w:rFonts w:ascii="Century Gothic" w:hAnsi="Century Gothic"/>
                <w:b/>
                <w:sz w:val="20"/>
                <w:szCs w:val="20"/>
              </w:rPr>
              <w:t>FIN</w:t>
            </w:r>
          </w:p>
        </w:tc>
        <w:tc>
          <w:tcPr>
            <w:tcW w:w="1559" w:type="dxa"/>
            <w:vAlign w:val="center"/>
          </w:tcPr>
          <w:p w:rsidR="00BE19A8" w:rsidRPr="000D6F58" w:rsidRDefault="00BE19A8" w:rsidP="005A4A3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BE19A8" w:rsidRPr="00BE19A8" w:rsidRDefault="00BE19A8" w:rsidP="00E70A3D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EF126E" w:rsidRPr="000D6F58" w:rsidRDefault="00EF126E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EF126E" w:rsidRPr="000D6F58" w:rsidSect="00140B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C7" w:rsidRDefault="00AD19C7" w:rsidP="000D6F58">
      <w:pPr>
        <w:spacing w:after="0" w:line="240" w:lineRule="auto"/>
      </w:pPr>
      <w:r>
        <w:separator/>
      </w:r>
    </w:p>
  </w:endnote>
  <w:endnote w:type="continuationSeparator" w:id="1">
    <w:p w:rsidR="00AD19C7" w:rsidRDefault="00AD19C7" w:rsidP="000D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C7" w:rsidRDefault="00AD19C7" w:rsidP="000D6F58">
      <w:pPr>
        <w:spacing w:after="0" w:line="240" w:lineRule="auto"/>
      </w:pPr>
      <w:r>
        <w:separator/>
      </w:r>
    </w:p>
  </w:footnote>
  <w:footnote w:type="continuationSeparator" w:id="1">
    <w:p w:rsidR="00AD19C7" w:rsidRDefault="00AD19C7" w:rsidP="000D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/>
    </w:tblPr>
    <w:tblGrid>
      <w:gridCol w:w="2494"/>
      <w:gridCol w:w="5677"/>
      <w:gridCol w:w="1708"/>
    </w:tblGrid>
    <w:tr w:rsidR="005A4A37" w:rsidRPr="00B1135C" w:rsidTr="005A4A37">
      <w:trPr>
        <w:trHeight w:val="456"/>
        <w:jc w:val="center"/>
      </w:trPr>
      <w:tc>
        <w:tcPr>
          <w:tcW w:w="2494" w:type="dxa"/>
          <w:vMerge w:val="restart"/>
        </w:tcPr>
        <w:p w:rsidR="005A4A37" w:rsidRPr="002D7CBB" w:rsidRDefault="005A4A37" w:rsidP="000D6F58">
          <w:pPr>
            <w:jc w:val="right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14463" cy="447675"/>
                <wp:effectExtent l="0" t="0" r="0" b="0"/>
                <wp:docPr id="18296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6" name="10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6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Align w:val="center"/>
        </w:tcPr>
        <w:p w:rsidR="005A4A37" w:rsidRPr="000D6F58" w:rsidRDefault="005A4A37" w:rsidP="000D6F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0D6F58">
            <w:rPr>
              <w:rFonts w:ascii="Century Gothic" w:hAnsi="Century Gothic" w:cs="Tahoma"/>
              <w:b/>
              <w:sz w:val="20"/>
              <w:szCs w:val="20"/>
              <w:lang w:val="en-US"/>
            </w:rPr>
            <w:t>PDO-DIGD-02</w:t>
          </w:r>
        </w:p>
      </w:tc>
      <w:tc>
        <w:tcPr>
          <w:tcW w:w="1708" w:type="dxa"/>
          <w:vMerge w:val="restart"/>
          <w:vAlign w:val="center"/>
        </w:tcPr>
        <w:p w:rsidR="005A4A37" w:rsidRPr="00B1135C" w:rsidRDefault="005A4A37" w:rsidP="000D6F58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FD0F27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FD0F27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974D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FD0F27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FD0F27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FD0F27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974DD1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3</w:t>
          </w:r>
          <w:r w:rsidR="00FD0F27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5A4A37" w:rsidRPr="00B1135C" w:rsidTr="005A4A37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494" w:type="dxa"/>
          <w:vMerge/>
        </w:tcPr>
        <w:p w:rsidR="005A4A37" w:rsidRPr="00B1135C" w:rsidRDefault="005A4A37" w:rsidP="000D6F58">
          <w:pPr>
            <w:pStyle w:val="Encabezado"/>
            <w:rPr>
              <w:rFonts w:cs="Arial"/>
              <w:b/>
            </w:rPr>
          </w:pPr>
        </w:p>
      </w:tc>
      <w:tc>
        <w:tcPr>
          <w:tcW w:w="5677" w:type="dxa"/>
          <w:vAlign w:val="center"/>
        </w:tcPr>
        <w:p w:rsidR="005A4A37" w:rsidRPr="000D6F58" w:rsidRDefault="005A4A37" w:rsidP="000D6F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0D6F58">
            <w:rPr>
              <w:rFonts w:ascii="Century Gothic" w:hAnsi="Century Gothic" w:cs="Tahoma"/>
              <w:b/>
              <w:sz w:val="20"/>
              <w:szCs w:val="20"/>
            </w:rPr>
            <w:t xml:space="preserve">PROCEDIMIENTO DISPOCISION FINAL DE DOCUMENTOS  </w:t>
          </w:r>
        </w:p>
      </w:tc>
      <w:tc>
        <w:tcPr>
          <w:tcW w:w="1708" w:type="dxa"/>
          <w:vMerge/>
          <w:vAlign w:val="center"/>
        </w:tcPr>
        <w:p w:rsidR="005A4A37" w:rsidRPr="00B1135C" w:rsidRDefault="005A4A37" w:rsidP="000D6F58">
          <w:pPr>
            <w:pStyle w:val="Encabezado"/>
            <w:rPr>
              <w:rFonts w:cs="Arial"/>
              <w:b/>
            </w:rPr>
          </w:pPr>
        </w:p>
      </w:tc>
    </w:tr>
  </w:tbl>
  <w:p w:rsidR="005A4A37" w:rsidRDefault="005A4A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EA6"/>
    <w:multiLevelType w:val="hybridMultilevel"/>
    <w:tmpl w:val="D876C8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F19D9"/>
    <w:multiLevelType w:val="hybridMultilevel"/>
    <w:tmpl w:val="AF8AD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2B2A"/>
    <w:multiLevelType w:val="hybridMultilevel"/>
    <w:tmpl w:val="372E686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EE2B23"/>
    <w:multiLevelType w:val="hybridMultilevel"/>
    <w:tmpl w:val="7334EB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A6648"/>
    <w:multiLevelType w:val="hybridMultilevel"/>
    <w:tmpl w:val="527A7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FC4"/>
    <w:rsid w:val="00096A3A"/>
    <w:rsid w:val="000D6F58"/>
    <w:rsid w:val="000E5508"/>
    <w:rsid w:val="00140B93"/>
    <w:rsid w:val="003F1869"/>
    <w:rsid w:val="00401D91"/>
    <w:rsid w:val="0049565F"/>
    <w:rsid w:val="004A6FED"/>
    <w:rsid w:val="005A4A37"/>
    <w:rsid w:val="005E4FC4"/>
    <w:rsid w:val="00605887"/>
    <w:rsid w:val="00687B3F"/>
    <w:rsid w:val="008525AD"/>
    <w:rsid w:val="00855280"/>
    <w:rsid w:val="008B7C39"/>
    <w:rsid w:val="00974DD1"/>
    <w:rsid w:val="00A645EA"/>
    <w:rsid w:val="00AD19C7"/>
    <w:rsid w:val="00BE19A8"/>
    <w:rsid w:val="00CA7A3E"/>
    <w:rsid w:val="00CC6419"/>
    <w:rsid w:val="00D7216C"/>
    <w:rsid w:val="00D81CAF"/>
    <w:rsid w:val="00E36B37"/>
    <w:rsid w:val="00E44312"/>
    <w:rsid w:val="00E70A3D"/>
    <w:rsid w:val="00EF126E"/>
    <w:rsid w:val="00EF2146"/>
    <w:rsid w:val="00FD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FC4"/>
  </w:style>
  <w:style w:type="paragraph" w:styleId="Prrafodelista">
    <w:name w:val="List Paragraph"/>
    <w:basedOn w:val="Normal"/>
    <w:uiPriority w:val="34"/>
    <w:qFormat/>
    <w:rsid w:val="005E4F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D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F58"/>
  </w:style>
  <w:style w:type="paragraph" w:styleId="Textoindependiente">
    <w:name w:val="Body Text"/>
    <w:basedOn w:val="Normal"/>
    <w:link w:val="TextoindependienteCar"/>
    <w:uiPriority w:val="99"/>
    <w:rsid w:val="000D6F5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6F58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D6F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D6F5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A37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70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0A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0A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A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127E-B50F-4318-884F-48E98A7D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SGC</cp:lastModifiedBy>
  <cp:revision>3</cp:revision>
  <dcterms:created xsi:type="dcterms:W3CDTF">2017-03-29T20:21:00Z</dcterms:created>
  <dcterms:modified xsi:type="dcterms:W3CDTF">2017-10-26T15:12:00Z</dcterms:modified>
</cp:coreProperties>
</file>